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8A481" w14:textId="367C0DF1" w:rsidR="004A0C3A" w:rsidRDefault="004A0C3A">
      <w:r>
        <w:rPr>
          <w:noProof/>
        </w:rPr>
        <w:drawing>
          <wp:anchor distT="0" distB="0" distL="114300" distR="114300" simplePos="0" relativeHeight="251658240" behindDoc="0" locked="0" layoutInCell="1" allowOverlap="1" wp14:anchorId="502FAC7E" wp14:editId="7ED9E527">
            <wp:simplePos x="0" y="0"/>
            <wp:positionH relativeFrom="column">
              <wp:posOffset>-609601</wp:posOffset>
            </wp:positionH>
            <wp:positionV relativeFrom="paragraph">
              <wp:posOffset>0</wp:posOffset>
            </wp:positionV>
            <wp:extent cx="9381067" cy="7035800"/>
            <wp:effectExtent l="0" t="0" r="0" b="0"/>
            <wp:wrapSquare wrapText="bothSides"/>
            <wp:docPr id="2" name="Picture 2" descr="Upgrade your KWL Chart to the 21st Century: Tools, Platforms and Visible  Thinking Routines | Silvia Tolisa… | Visible thinking routines, Kwl chart,  Visible thin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grade your KWL Chart to the 21st Century: Tools, Platforms and Visible  Thinking Routines | Silvia Tolisa… | Visible thinking routines, Kwl chart,  Visible think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893" cy="704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0C3A" w:rsidSect="004A0C3A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3A"/>
    <w:rsid w:val="004A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EBAD4"/>
  <w15:chartTrackingRefBased/>
  <w15:docId w15:val="{D6C0C55B-CC3B-4923-9572-975093D2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 Birkeland</dc:creator>
  <cp:keywords/>
  <dc:description/>
  <cp:lastModifiedBy>Marnie Birkeland</cp:lastModifiedBy>
  <cp:revision>1</cp:revision>
  <dcterms:created xsi:type="dcterms:W3CDTF">2021-03-04T21:06:00Z</dcterms:created>
  <dcterms:modified xsi:type="dcterms:W3CDTF">2021-03-04T21:08:00Z</dcterms:modified>
</cp:coreProperties>
</file>